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April</w:t>
      </w:r>
      <w:r>
        <w:t xml:space="preserve"> </w:t>
      </w:r>
      <w:r>
        <w:t xml:space="preserve">25,</w:t>
      </w:r>
      <w:r>
        <w:t xml:space="preserve"> </w:t>
      </w:r>
      <w:r>
        <w:t xml:space="preserve">2023</w:t>
      </w:r>
    </w:p>
    <w:p>
      <w:pPr>
        <w:pStyle w:val="Abstract"/>
      </w:pP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is</w:t>
      </w:r>
      <w:r>
        <w:t xml:space="preserve"> </w:t>
      </w:r>
      <w:r>
        <w:t xml:space="preserve">characterized</w:t>
      </w:r>
      <w:r>
        <w:t xml:space="preserve"> </w:t>
      </w:r>
      <w:r>
        <w:t xml:space="preserve">by</w:t>
      </w:r>
      <w:r>
        <w:t xml:space="preserve"> </w:t>
      </w: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higher</w:t>
      </w:r>
      <w:r>
        <w:t xml:space="preserve"> </w:t>
      </w:r>
      <w:r>
        <w:t xml:space="preserve">proportions</w:t>
      </w:r>
      <w:r>
        <w:t xml:space="preserve"> </w:t>
      </w:r>
      <w:r>
        <w:t xml:space="preserve">of</w:t>
      </w:r>
      <w:r>
        <w:t xml:space="preserve"> </w:t>
      </w:r>
      <w:r>
        <w:t xml:space="preserve">finer</w:t>
      </w:r>
      <w:r>
        <w:t xml:space="preserve"> </w:t>
      </w:r>
      <w:r>
        <w:t xml:space="preserve">grained</w:t>
      </w:r>
      <w:r>
        <w:t xml:space="preserve"> </w:t>
      </w:r>
      <w:r>
        <w:t xml:space="preserve">materials.</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this</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of</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distinguish</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likely</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were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ranges</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predominantly</w:t>
      </w:r>
      <w:r>
        <w:t xml:space="preserve"> </w:t>
      </w:r>
      <w:r>
        <w:t xml:space="preserve">produced</w:t>
      </w:r>
      <w:r>
        <w:t xml:space="preserve"> </w:t>
      </w:r>
      <w:r>
        <w:t xml:space="preserve">before</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was</w:t>
      </w:r>
      <w:r>
        <w:t xml:space="preserve"> </w:t>
      </w:r>
      <w:r>
        <w:t xml:space="preserve">apparent</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use</w:t>
      </w:r>
      <w:r>
        <w:t xml:space="preserve"> </w:t>
      </w:r>
      <w:r>
        <w:t xml:space="preserve">as</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marked a major transition in the Korean Paleolithic,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Stemmed points are considered to be the first evidence of a suite of new technologies defining the Late Paleolithic period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p>
    <w:p>
      <w:pPr>
        <w:pStyle w:val="BodyText"/>
      </w:pPr>
      <w:r>
        <w:t xml:space="preserve">The purpose of this study is to examine the possible uses of stemmed points in order to understand what role stemmed points may have played in the technological transition from Early to the Late Paleolithic in Korea. We use the tip cross-sectional area (TCSA) metric to infer weapon-use strategies based on comparison with other archaeological and ethnographic assemblages, assuming that different ranges of TCSA values correspond to different weapon types</w:t>
      </w:r>
      <w:r>
        <w:t xml:space="preserve"> </w:t>
      </w:r>
      <w:r>
        <w:t xml:space="preserve">(Lombard, 2021)</w:t>
      </w:r>
      <w:r>
        <w:t xml:space="preserve">. We then explore the relationship between the TCSA range and raw materials, artifact size and discard location, and how these changed over time in Korea. Our main questions are: What were the best-fit ballistic probabilities for the stemmed points if they were hafted as weapon tips? How diverse were their likely uses? What are the temporal and spatial patterns of stemmed point uses? We examine possible links between the roles of stemmed points and environmental change, especially the Last Glacial Maximum, or population dynamics during the Late Paleolithic period. In order to understand how a certain weapon-tip type was chosen, we apply an evolutionary perspective with the assumption that people chose their weapon tip types as part of their adaptation to their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performed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points</w:t>
      </w:r>
      <w:r>
        <w:t xml:space="preserve">”</w:t>
      </w:r>
      <w:r>
        <w:t xml:space="preserve"> </w:t>
      </w:r>
      <w:r>
        <w:t xml:space="preserve">here to distinguish them from Bronze Age stone projectile points which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technological transition of the Late Paleolithic, and relationships between Korea and adjacent regions in East Asia, such as Japan.</w:t>
      </w:r>
    </w:p>
    <w:p>
      <w:pPr>
        <w:pStyle w:val="BodyText"/>
      </w:pPr>
      <w:r>
        <w:t xml:space="preserve">Stemmed points are the first composite tools in the Korean Paleolithic. They require two different parts to be form one complete tool: a stone point and a shaft, presumably made out of wood</w:t>
      </w:r>
      <w:r>
        <w:t xml:space="preserve"> </w:t>
      </w:r>
      <w:r>
        <w:t xml:space="preserve">(Seong, 2008)</w:t>
      </w:r>
      <w:r>
        <w:t xml:space="preserve">. Using blades as the blank for the point enables mass production of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provides insights into greater cultural, evolutionary, and behavioral cognitive flexibility.</w:t>
      </w:r>
    </w:p>
    <w:p>
      <w:pPr>
        <w:pStyle w:val="BodyText"/>
      </w:pPr>
      <w:r>
        <w:t xml:space="preserve">Since stemmed points represent the beginning of the Korean Late Paleolithic, investigating their origins is critical to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 debate around the origin of stemmed points can be summarized into two competing models: (1)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(2)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 including stemmed points - and the earlier coarse flake tradition - including large cores, polyhedrons, choppers, and even handaxes - came from different origins. These are (1) a Northern route: Siberia, Mongolia, or other regions of northeast China, and (2) a Southern route: southern China) as the result of a continuing influx of modern human migration from two routes.</w:t>
      </w:r>
    </w:p>
    <w:p>
      <w:pPr>
        <w:pStyle w:val="BodyText"/>
      </w:pPr>
      <w:r>
        <w:t xml:space="preserve">The</w:t>
      </w:r>
      <w:r>
        <w:t xml:space="preserve"> </w:t>
      </w:r>
      <w:r>
        <w:rPr>
          <w:iCs/>
          <w:i/>
        </w:rPr>
        <w:t xml:space="preserve">in situ</w:t>
      </w:r>
      <w:r>
        <w:t xml:space="preserve"> </w:t>
      </w:r>
      <w:r>
        <w:t xml:space="preserve">model argues that stemmed points and other Late Paleolithic technologies, such as blade industries, autonomously emerged in the south of the Korean peninsula, with no apparent external influence. The difference between the two models comes from how they explain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the emergence and establishment of blade technology</w:t>
      </w:r>
      <w:r>
        <w:t xml:space="preserve"> </w:t>
      </w:r>
      <w:r>
        <w:t xml:space="preserve">(Seong and Bae, 2016)</w:t>
      </w:r>
      <w:r>
        <w:t xml:space="preserve">.</w:t>
      </w:r>
      <w:r>
        <w:t xml:space="preserve"> </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The study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tool size, shape of edge, degrees of damage, and types of edge retouching from the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has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within Northeast Asia, dating to ca. 41.5 ka, and are made from elongated flakes</w:t>
      </w:r>
      <w:r>
        <w:t xml:space="preserve"> </w:t>
      </w:r>
      <w:r>
        <w:t xml:space="preserve">(Bae et al., 2017; Seong, 2015, 2009)</w:t>
      </w:r>
      <w:r>
        <w:t xml:space="preserve">. After their first appearance in Korea, stemmed points (Hakuhensenntouki in Japanese) appeared in Kyushu, Japan during the late Marine Isotope Stage (MIS) 3. In addition to the stemmed points, there are similar artifacts found in both regions, such as microblade cores, Moppule-seokgi (Kakusuijyosekki in Japanese), backed knives,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one-sided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generally been assumed to have been hunting armatures</w:t>
      </w:r>
      <w:r>
        <w:t xml:space="preserve"> </w:t>
      </w:r>
      <w:r>
        <w:t xml:space="preserve">(Chang, 2013; Lee and Sano, 2019; Lee and Jang, 2011a; Lee and Kong, 2002a; Seong, 2008)</w:t>
      </w:r>
      <w:r>
        <w:t xml:space="preserve">, it is difficult to determine their likely uses without knowing their complete shape when attached to other components. Preserved wooden components of prehistoric projectile tools are too few and rare to standardize their overall scale and variability</w:t>
      </w:r>
      <w:r>
        <w:t xml:space="preserve"> </w:t>
      </w:r>
      <w:r>
        <w:t xml:space="preserve">(Shea, 2006)</w:t>
      </w:r>
      <w:r>
        <w:t xml:space="preserve">.</w:t>
      </w:r>
      <w:r>
        <w:t xml:space="preserve"> </w:t>
      </w:r>
      <w:r>
        <w:t xml:space="preserve">Lee and Kong (2002b)</w:t>
      </w:r>
      <w:r>
        <w:t xml:space="preserve"> </w:t>
      </w:r>
      <w:r>
        <w:t xml:space="preserve">claim stemmed points should be considered more generally as</w:t>
      </w:r>
      <w:r>
        <w:t xml:space="preserve"> </w:t>
      </w:r>
      <w:r>
        <w:t xml:space="preserve">‘</w:t>
      </w:r>
      <w:r>
        <w:t xml:space="preserve">stemmed tools</w:t>
      </w:r>
      <w:r>
        <w:t xml:space="preserve">’</w:t>
      </w:r>
      <w:r>
        <w:t xml:space="preserve"> </w:t>
      </w:r>
      <w:r>
        <w:t xml:space="preserve">because of the uncertainty of their complete shape. Other researchers propose that non-symmetrical stemmed points - with retouch on one side or denticulate blades on one side - should not be referred to as stemmed points but rather as stemmed knives, stemmed side-scrapers, stemmed end-scrapers, or stemmed burins (</w:t>
      </w:r>
      <w:hyperlink w:anchor="fig-sp-hand-made">
        <w:r>
          <w:rPr>
            <w:rStyle w:val="Hyperlink"/>
          </w:rPr>
          <w:t xml:space="preserve">Figure 1</w:t>
        </w:r>
      </w:hyperlink>
      <w:r>
        <w:t xml:space="preserve">: 7-8)</w:t>
      </w:r>
      <w:r>
        <w:t xml:space="preserve"> </w:t>
      </w:r>
      <w:r>
        <w:t xml:space="preserve">(Kim, n.d.; Lee and Jang, 2011b; Seong, 2008)</w:t>
      </w:r>
      <w:r>
        <w:t xml:space="preserve">.</w:t>
      </w:r>
    </w:p>
    <w:p>
      <w:pPr>
        <w:pStyle w:val="BodyText"/>
      </w:pPr>
      <w:r>
        <w:t xml:space="preserve">Stemmed points are typically symmetrical from tip to tang, with the central axis serving as a line of symmetry</w:t>
      </w:r>
      <w:r>
        <w:t xml:space="preserve"> </w:t>
      </w:r>
      <w:r>
        <w:t xml:space="preserve">(Lee and Jang, 2011b)</w:t>
      </w:r>
      <w:r>
        <w:t xml:space="preserve">. There is a high percentage of broken tips and stems, and the reused tools were repaired in accordance with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For example, at Yongsandong site, only 10% of the tools are complete, while 33% of the tips are missing. In the case of Jingeuneul, the percentages are 16% and 50%, respectively</w:t>
      </w:r>
      <w:r>
        <w:t xml:space="preserve"> </w:t>
      </w:r>
      <w:r>
        <w:t xml:space="preserve">(Park, 2013)</w:t>
      </w:r>
      <w:r>
        <w:t xml:space="preserve">. In addition to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probabilistically discriminate different likely use classes of projectile armatures, such as spear-thrower (a.k.a. atlatl) dart tips, un-poisoned arrow tips and large stabbing/thrusting spears</w:t>
      </w:r>
      <w:r>
        <w:t xml:space="preserve"> </w:t>
      </w:r>
      <w:r>
        <w:t xml:space="preserve">(Lombard, 2022, 2021, 2020; Lombard and Moncel, 2023; Lombard and Shea, 2021; Metz et al., 2023; O’Driscoll and Thompson, 2018; Sisk and Shea, 2011)</w:t>
      </w:r>
      <w:r>
        <w:t xml:space="preserve">.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validated by</w:t>
      </w:r>
      <w:r>
        <w:t xml:space="preserve"> </w:t>
      </w:r>
      <w:r>
        <w:t xml:space="preserve">Shea (2006)</w:t>
      </w:r>
      <w:r>
        <w:t xml:space="preserve"> </w:t>
      </w:r>
      <w:r>
        <w:t xml:space="preserve">through the comparison of archaeological examples with ethnographically collected samples of known use.</w:t>
      </w:r>
      <w:r>
        <w:t xml:space="preserve"> </w:t>
      </w:r>
      <w:r>
        <w:t xml:space="preserve">Shea (2009)</w:t>
      </w:r>
      <w:r>
        <w:t xml:space="preserve"> </w:t>
      </w:r>
      <w:r>
        <w:t xml:space="preserve">also applied this approach to compare projectile points from Africa, the Levant, and Europe, claiming that projectile weapons first appeared in Africa.</w:t>
      </w:r>
    </w:p>
    <w:p>
      <w:pPr>
        <w:pStyle w:val="BodyText"/>
      </w:pPr>
      <w:r>
        <w:t xml:space="preserve">One of the key advantages of the TCSA metric is its convenience of application: regardless of the point type, only the maximum width and thickness measurements are required to calculate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Their purpose in using TCSA was to compare the values to North American dart tips and arrowheads. Their results show that the range of TCSA values for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Based on the results,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a much larger sample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Seokjangri site in the 1960s, more than 450 stemmed points have been found at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We included stemmed points discovered during field surveys as well as those found at sites that were never dated but were associated with other Late Palaeolithic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taken place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from the four by using a different site name, Hajinri, following the convention established by the excavators at that location. Hajinri is the sixth excavation location at Suyanggae, which is 3.5 kilometers apart from the other areas and dated much earlier (around 42-30 ka) than the other assemblages (around 31-15 ka). According to the excavation reports for Hajinri, stemmed points first appeared there around 42 ka with the earliest blades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(around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for stemmed points, we calculated TCSA values for the stemmed points in our sample. We also explored the interaction of TCSA values with raw materials and artifact size, using weight as a proxy. Because the shape of stone artifacts is highly influenced by the raw materials</w:t>
      </w:r>
      <w:r>
        <w:t xml:space="preserve"> </w:t>
      </w:r>
      <w:r>
        <w:t xml:space="preserve">(McPherron et al., 2014)</w:t>
      </w:r>
      <w:r>
        <w:t xml:space="preserve">, we assumed that raw materials may be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and examined the distribution of TCSA values before, during, and after the LGM. We explored the relationship between TCSA values and the location of assemblages by comparing the distribution of TCSA values across ecological and vegetation zones.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in interpreting our results, we referenced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 the analysis by</w:t>
      </w:r>
      <w:r>
        <w:t xml:space="preserve"> </w:t>
      </w:r>
      <w:r>
        <w:t xml:space="preserve">Wadley and Mohapi (2008)</w:t>
      </w:r>
      <w:r>
        <w:t xml:space="preserve"> </w:t>
      </w:r>
      <w:r>
        <w:t xml:space="preserve">of backed microliths (</w:t>
      </w:r>
      <w:hyperlink w:anchor="tbl-tcsa-ranges">
        <w:r>
          <w:rPr>
            <w:rStyle w:val="Hyperlink"/>
          </w:rPr>
          <w:t xml:space="preserve">Table 1</w:t>
        </w:r>
      </w:hyperlink>
      <w:r>
        <w:t xml:space="preserve">). We excluded 12 artifacts from our dataset with TCSA greater than 250, which were outside of the range of our comparative data. For this comparison with weapon-delivery systems, we included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for identifying different types of armatures</w:t>
      </w:r>
      <w:r>
        <w:t xml:space="preserve"> </w:t>
      </w:r>
      <w:r>
        <w:t xml:space="preserve">(Sahle and Brooks, 2019; Thomas, 1978)</w:t>
      </w:r>
      <w:r>
        <w:t xml:space="preserve">. We chose weight as a proxy for the overall size of the stemmed points. As a reliable discriminator between tools of different sizes as well as a descriptive attribute, weight can be measured rapidly and objectively</w:t>
      </w:r>
      <w:r>
        <w:t xml:space="preserve"> </w:t>
      </w:r>
      <w:r>
        <w:t xml:space="preserve">(Fenenga, 1953; Shea, 2006)</w:t>
      </w:r>
      <w:r>
        <w:t xml:space="preserve">. We then explored the relationship between weight and raw materials on TCSA values. Excluding points that we were not able to directly measure or obtain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investigate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analyze spatial patterns in TCSA values. Among the 25 sites, we combined those that contained fewer than five stemmed points and named them</w:t>
      </w:r>
      <w:r>
        <w:t xml:space="preserve"> </w:t>
      </w:r>
      <w:r>
        <w:t xml:space="preserve">“</w:t>
      </w:r>
      <w:r>
        <w:t xml:space="preserve">Other.</w:t>
      </w:r>
      <w:r>
        <w:t xml:space="preserve">”</w:t>
      </w:r>
      <w:r>
        <w:t xml:space="preserve"> </w:t>
      </w:r>
      <w:r>
        <w:t xml:space="preserve">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pPr>
        <w:pStyle w:val="BodyText"/>
      </w:pPr>
      <w:r>
        <w:t xml:space="preserve">The vegetation zones are based on</w:t>
      </w:r>
      <w:r>
        <w:t xml:space="preserve"> </w:t>
      </w:r>
      <w:r>
        <w:t xml:space="preserve">Yi and Kim (2010)</w:t>
      </w:r>
      <w:r>
        <w:t xml:space="preserve">’s classification of South Korea into three zones: Central Temperate Zone (CT), South Temperate Zone (ST), and Subtropical-warm Temperate Zone (SWT). These divisions are based on</w:t>
      </w:r>
      <w:r>
        <w:t xml:space="preserve"> </w:t>
      </w:r>
      <w:r>
        <w:t xml:space="preserve">Yim and Kira (1975)</w:t>
      </w:r>
      <w:r>
        <w:t xml:space="preserve">’s forest vegetation map, defined by recent temperature and precipitation values.</w:t>
      </w:r>
    </w:p>
    <w:p>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Then, we used longitude and latitude to locate individual assemblages and examined TCSA values for each zone. We acknowledge that modern eco-regional maps may not fully resemble the Pleistocene landscape in which the points were made and used; however, these are the only maps of eco-regional zones that are currently available.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w:t>
      </w:r>
      <w:r>
        <w:t xml:space="preserve"> </w:t>
      </w:r>
      <w:r>
        <w:t xml:space="preserve">(Angelbeck and Cameron, 2014; Bettinger, 2013; Rorabaugh and Fulkerson, 2015)</w:t>
      </w:r>
      <w:r>
        <w:t xml:space="preserve">. Taking an evolutionary approach, we assume that, given an opportunity to explore alternative technologies, human groups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In one example,</w:t>
      </w:r>
      <w:r>
        <w:t xml:space="preserve"> </w:t>
      </w:r>
      <w:r>
        <w:t xml:space="preserve">Eren et al. (2022)</w:t>
      </w:r>
      <w:r>
        <w:t xml:space="preserve"> </w:t>
      </w:r>
      <w:r>
        <w:t xml:space="preserve">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a small set of specific tasks.</w:t>
      </w:r>
    </w:p>
    <w:p>
      <w:pPr>
        <w:pStyle w:val="BodyText"/>
      </w:pPr>
      <w:r>
        <w:t xml:space="preserve">Inspired by</w:t>
      </w:r>
      <w:r>
        <w:t xml:space="preserve"> </w:t>
      </w:r>
      <w:r>
        <w:t xml:space="preserve">Eren et al. (2022)</w:t>
      </w:r>
      <w:r>
        <w:t xml:space="preserve">’s approach, we hypothesized some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as measured by coefficients of variation (CV), in the LGM is predicted to increase as lower temperatures alter the distribution of resources and reduce the predictability of resource encounters. After the LGM we anticipate a reduction in the range of TCSA values, with higher temperatures and increased bioproductivity.</w:t>
      </w:r>
    </w:p>
    <w:p>
      <w:pPr>
        <w:pStyle w:val="BodyText"/>
      </w:pPr>
      <w:r>
        <w:t xml:space="preserve">In response to heterogeneously distributed food resources, TCSA values are predicted to vary across vegetation types and geographical zones. In harsh environments with lower patch productivity, similar to the case of the LGM duration, we expect to observe a further increase in the variability of TCSA values. On the other hand,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pPr>
        <w:pStyle w:val="BodyText"/>
      </w:pPr>
      <w:r>
        <w:t xml:space="preserve">The entire R code</w:t>
      </w:r>
      <w:r>
        <w:t xml:space="preserve"> </w:t>
      </w:r>
      <w:r>
        <w:t xml:space="preserve">(R Core Team, 2021)</w:t>
      </w:r>
      <w:r>
        <w:t xml:space="preserve"> </w:t>
      </w:r>
      <w:r>
        <w:t xml:space="preserve">and data files used for all the analyses and visualizations contained in this paper are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can be independently reproduced with the code and data in this repository. The code is released under the MIT license, the data as CC-0, and the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w:t>
      </w:r>
      <w:r>
        <w:t xml:space="preserve"> </w:t>
      </w:r>
      <w:hyperlink w:anchor="tbl-tcsa-ranges">
        <w:r>
          <w:rPr>
            <w:rStyle w:val="Hyperlink"/>
          </w:rPr>
          <w:t xml:space="preserve">Table 1</w:t>
        </w:r>
      </w:hyperlink>
      <w:r>
        <w:t xml:space="preserve">,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TCSA ranges for various weapon types.</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revealing three clusters of artifact sizes (A of</w:t>
      </w:r>
      <w:r>
        <w:t xml:space="preserve"> </w:t>
      </w:r>
      <w:hyperlink w:anchor="fig-artifact-size-cluster">
        <w:r>
          <w:rPr>
            <w:rStyle w:val="Hyperlink"/>
          </w:rPr>
          <w:t xml:space="preserve">Figure 4</w:t>
        </w:r>
      </w:hyperlink>
      <w:r>
        <w:t xml:space="preserve">, mean = 10.1, SD = 7.3). Cluster 1, the smallest (lightest) artifacts, has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 There are a few overlaps, but we can still assume that artifacts in different size clusters might have been made for different purposes.</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includes porphyry, trachyte, felsite, chert, quartz, quartzite, granite, mudstone, and unidentified rocks. Overall, there is no clear pattern of TCSA values among different raw materials (</w:t>
      </w:r>
      <w:r>
        <w:rPr>
          <w:iCs/>
          <w:i/>
        </w:rPr>
        <w:t xml:space="preserve">F</w:t>
      </w:r>
      <w:r>
        <w:t xml:space="preserve">(5, 154) = 2.72,</w:t>
      </w:r>
      <w:r>
        <w:t xml:space="preserve"> </w:t>
      </w:r>
      <w:r>
        <w:rPr>
          <w:iCs/>
          <w:i/>
        </w:rPr>
        <w:t xml:space="preserve">p</w:t>
      </w:r>
      <w:r>
        <w:t xml:space="preserve"> </w:t>
      </w:r>
      <w:r>
        <w:t xml:space="preserve">= .022).</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w:t>
            </w:r>
          </w:p>
          <w:bookmarkEnd w:id="55"/>
        </w:tc>
      </w:tr>
    </w:tbl>
    <w:p>
      <w:pPr>
        <w:pStyle w:val="BodyText"/>
      </w:pPr>
      <w:hyperlink w:anchor="fig-tcsa-size">
        <w:r>
          <w:rPr>
            <w:rStyle w:val="Hyperlink"/>
          </w:rPr>
          <w:t xml:space="preserve">Figure 6</w:t>
        </w:r>
      </w:hyperlink>
      <w:r>
        <w:t xml:space="preserve"> </w:t>
      </w:r>
      <w:r>
        <w:t xml:space="preserve">shows positive relationships between TCSA for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TCSA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These assemblages have a wide range of TCSA values, indicating multiple likely uses for stemmed points. Overall, there is no clear pattern in these assemblages over time. The TCSA range varies depending on the assemblage.</w:t>
      </w:r>
    </w:p>
    <w:p>
      <w:pPr>
        <w:pStyle w:val="BodyText"/>
      </w:pPr>
      <w:r>
        <w:t xml:space="preserve">To explore the impact of climate change on the likely uses of the artifacts, panel B of</w:t>
      </w:r>
      <w:r>
        <w:t xml:space="preserve"> </w:t>
      </w:r>
      <w:hyperlink w:anchor="fig-tcsa-radio-carbon">
        <w:r>
          <w:rPr>
            <w:rStyle w:val="Hyperlink"/>
          </w:rPr>
          <w:t xml:space="preserve">Figure 7</w:t>
        </w:r>
      </w:hyperlink>
      <w:r>
        <w:t xml:space="preserve"> </w:t>
      </w:r>
      <w:r>
        <w:t xml:space="preserve">shows the distribution of TCSA values from assemblages aggregated into three periods: before, during, and after the LGM.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bookmarkEnd w:id="65"/>
    <w:bookmarkStart w:id="74" w:name="spatial-patterns-of-tcsa-values"/>
    <w:p>
      <w:pPr>
        <w:pStyle w:val="Heading2"/>
      </w:pPr>
      <w:r>
        <w:t xml:space="preserve">Spatial Patterns of TCSA Values</w:t>
      </w:r>
    </w:p>
    <w:p>
      <w:pPr>
        <w:pStyle w:val="FirstParagraph"/>
      </w:pPr>
      <w:r>
        <w:t xml:space="preserve">We computed artifact TCSA values for 25 sites that contain more than five stemmed points to observe variation between sites (</w:t>
      </w:r>
      <w:r>
        <w:rPr>
          <w:iCs/>
          <w:i/>
        </w:rPr>
        <w:t xml:space="preserve">F</w:t>
      </w:r>
      <w:r>
        <w:t xml:space="preserve">(6, 154) = 3.29,</w:t>
      </w:r>
      <w:r>
        <w:t xml:space="preserve"> </w:t>
      </w:r>
      <w:r>
        <w:rPr>
          <w:iCs/>
          <w:i/>
        </w:rPr>
        <w:t xml:space="preserve">p</w:t>
      </w:r>
      <w:r>
        <w:t xml:space="preserve"> </w:t>
      </w:r>
      <w:r>
        <w:t xml:space="preserve">= .004) (</w:t>
      </w:r>
      <w:hyperlink w:anchor="fig-tcsa-per-sites">
        <w:r>
          <w:rPr>
            <w:rStyle w:val="Hyperlink"/>
          </w:rPr>
          <w:t xml:space="preserve">Figure 8</w:t>
        </w:r>
      </w:hyperlink>
      <w:r>
        <w:t xml:space="preserve">). Sites with fewer than five stemmed points were grouped under the category of</w:t>
      </w:r>
      <w:r>
        <w:t xml:space="preserve"> </w:t>
      </w:r>
      <w:r>
        <w:t xml:space="preserve">“</w:t>
      </w:r>
      <w:r>
        <w:t xml:space="preserve">Other.</w:t>
      </w:r>
      <w:r>
        <w:t xml:space="preserve">”</w:t>
      </w:r>
      <w:r>
        <w:t xml:space="preserve"> </w:t>
      </w:r>
      <w:r>
        <w:t xml:space="preserve">Among the sites in our sample, Suyanggae has the most stemmed points and the widest range of TCSA values. This suggests that people made stemmed points for accomplishing a variety of tasks at the Suyanggae site. Nosanri, Sibuk, and Wolpyeng have a narrower range of lower values, which indicates less diverse likely uses for stemmed points. Yongsujaeul shows a narrower range but higher TCSA values. Yongsandong has the second highest number of stemmed points and shows two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In order 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or Central inland (CI) (</w:t>
      </w:r>
      <w:hyperlink w:anchor="fig-gis-tcsa-sites">
        <w:r>
          <w:rPr>
            <w:rStyle w:val="Hyperlink"/>
          </w:rPr>
          <w:t xml:space="preserve">Figure 9</w:t>
        </w:r>
      </w:hyperlink>
      <w:r>
        <w:t xml:space="preserve"> </w:t>
      </w:r>
      <w:r>
        <w:t xml:space="preserve">panel A &amp; D) of the eco-region map. We observed that there are statistically significant differences in the distribution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TCSA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 xml:space="preserve">Figure 9</w:t>
        </w:r>
      </w:hyperlink>
      <w:r>
        <w:t xml:space="preserve"> </w:t>
      </w:r>
      <w:r>
        <w:t xml:space="preserve">panel F). Overall, our results indicate no clear patterns in the distribution of TCSA values across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from</w:t>
            </w:r>
            <w:r>
              <w:t xml:space="preserve"> </w:t>
            </w:r>
            <w:r>
              <w:t xml:space="preserve">Lee et al. (2008)</w:t>
            </w:r>
            <w:r>
              <w:t xml:space="preserve">). E: TCSA distribution for ecoregion zones, excluding zones with no artifacts. F: Tukey test result for eco-region zones</w:t>
            </w:r>
          </w:p>
          <w:bookmarkEnd w:id="73"/>
        </w:tc>
      </w:tr>
    </w:tbl>
    <w:bookmarkEnd w:id="74"/>
    <w:bookmarkEnd w:id="75"/>
    <w:bookmarkStart w:id="76" w:name="discussion"/>
    <w:p>
      <w:pPr>
        <w:pStyle w:val="Heading1"/>
      </w:pPr>
      <w:r>
        <w:t xml:space="preserve">Discussion</w:t>
      </w:r>
    </w:p>
    <w:p>
      <w:pPr>
        <w:pStyle w:val="FirstParagraph"/>
      </w:pPr>
      <w:r>
        <w:t xml:space="preserve">By comparing the results with the TCSA range from other archaeological and ethnographic cases (</w:t>
      </w:r>
      <w:hyperlink w:anchor="tbl-tcsa-ranges">
        <w:r>
          <w:rPr>
            <w:rStyle w:val="Hyperlink"/>
          </w:rPr>
          <w:t xml:space="preserve">Table 1</w:t>
        </w:r>
      </w:hyperlink>
      <w:r>
        <w:t xml:space="preserve">), we were able to determine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None have TCSA values in the range of poison arrow tips (</w:t>
      </w:r>
      <w:hyperlink w:anchor="fig-tcsa-all-sp">
        <w:r>
          <w:rPr>
            <w:rStyle w:val="Hyperlink"/>
          </w:rPr>
          <w:t xml:space="preserve">Figure 3</w:t>
        </w:r>
      </w:hyperlink>
      <w:r>
        <w:t xml:space="preserve">). In their study,</w:t>
      </w:r>
      <w:r>
        <w:t xml:space="preserve"> </w:t>
      </w:r>
      <w:r>
        <w:t xml:space="preserve">Lee and Sano (2019)</w:t>
      </w:r>
      <w:r>
        <w:t xml:space="preserve"> </w:t>
      </w:r>
      <w:r>
        <w:t xml:space="preserve">calculated TCSA values for ten stemmed points from Jingeuneul site, which were not included in this research due to the unavailability of their data. They claimed that these values are within the range of North American dart tips and arrowheads. We found a wide range of TCSA in our sample covering the range of dart tips and un-poisoned arrow tips, which are assumed to be equivalent to arrowheads. In general, the wide range of TCSA suggest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explored the relationship between TCSA for weight and raw material types in order to examine these factors. We found that different clusters of weight are matched with different types of weapon tips (</w:t>
      </w:r>
      <w:hyperlink w:anchor="fig-artifact-size-cluster">
        <w:r>
          <w:rPr>
            <w:rStyle w:val="Hyperlink"/>
          </w:rPr>
          <w:t xml:space="preserve">Figure 4</w:t>
        </w:r>
      </w:hyperlink>
      <w:r>
        <w:t xml:space="preserve">). There was no clear pattern for raw materials (</w:t>
      </w:r>
      <w:hyperlink w:anchor="fig-tcsa-raw-materials">
        <w:r>
          <w:rPr>
            <w:rStyle w:val="Hyperlink"/>
          </w:rPr>
          <w:t xml:space="preserve">Figure 5</w:t>
        </w:r>
      </w:hyperlink>
      <w:r>
        <w:t xml:space="preserve">). However, combined with weight, we observed a positive relationship between raw material type and TCSA values (</w:t>
      </w:r>
      <w:hyperlink w:anchor="fig-tcsa-size">
        <w:r>
          <w:rPr>
            <w:rStyle w:val="Hyperlink"/>
          </w:rPr>
          <w:t xml:space="preserve">Figure 6</w:t>
        </w:r>
      </w:hyperlink>
      <w:r>
        <w:t xml:space="preserve">). We speculate that this might be due to the higher availability of raw materials, such as shale and hornfels within the landscape. Therefore, we find that raw materials, via nodule size, were influential on TCSA values.</w:t>
      </w:r>
    </w:p>
    <w:p>
      <w:pPr>
        <w:pStyle w:val="BodyText"/>
      </w:pPr>
      <w:r>
        <w:t xml:space="preserve">Our results show that TCSA values vary between assemblages with few discernible temporal patterns in function (</w:t>
      </w:r>
      <w:hyperlink w:anchor="fig-tcsa-radio-carbon">
        <w:r>
          <w:rPr>
            <w:rStyle w:val="Hyperlink"/>
          </w:rPr>
          <w:t xml:space="preserve">Figure 7</w:t>
        </w:r>
      </w:hyperlink>
      <w:r>
        <w:t xml:space="preserve"> </w:t>
      </w:r>
      <w:r>
        <w:t xml:space="preserve">panel A). Contrary to our prediction, the earliest stemmed points do not have more variable TSCA values than subsequent ones. The most striking temporal pattern is simply that stemmed points were produced and discarded most frequently before the LGM (</w:t>
      </w:r>
      <w:hyperlink w:anchor="fig-tcsa-radio-carbon">
        <w:r>
          <w:rPr>
            <w:rStyle w:val="Hyperlink"/>
          </w:rPr>
          <w:t xml:space="preserve">Figure 7</w:t>
        </w:r>
      </w:hyperlink>
      <w:r>
        <w:t xml:space="preserve"> </w:t>
      </w:r>
      <w:r>
        <w:t xml:space="preserve">panel B). While we predicted the greatest variation in TCSA values during the LGM, our results show the opposite: variability decreased during the LGM (CV = 38.08), in comparison to the previous period (CV = 44.87). This could be explained by the overall decline in stemmed points usage, perhaps due to a retreat into refugia during the LGM, rather than increased mobility into unfamiliar areas.</w:t>
      </w:r>
    </w:p>
    <w:p>
      <w:pPr>
        <w:pStyle w:val="BodyText"/>
      </w:pPr>
      <w:r>
        <w:t xml:space="preserve">We found that stemmed points are primarily located in a small number of eco-regional zones such as the Central Temperature (CT) Zone with few clear patterns in TCSA function across the zones (</w:t>
      </w:r>
      <w:hyperlink w:anchor="fig-gis-tcsa-sites">
        <w:r>
          <w:rPr>
            <w:rStyle w:val="Hyperlink"/>
          </w:rPr>
          <w:t xml:space="preserve">Figure 9</w:t>
        </w:r>
      </w:hyperlink>
      <w:r>
        <w:t xml:space="preserve">). As predicted, TCSA values in inland areas, such as the CT Zone, show higher variability. These results suggest that stemmed points performed a wider range of tasks in low-productivity patches.</w:t>
      </w:r>
      <w:r>
        <w:t xml:space="preserve"> </w:t>
      </w:r>
      <w:r>
        <w:t xml:space="preserve">Prates et al. (2022)</w:t>
      </w:r>
      <w:r>
        <w:t xml:space="preserve"> </w:t>
      </w:r>
      <w:r>
        <w:t xml:space="preserve">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Future work should investigate more specifically patterns in the distribution of stemmed points and ranges of faunal taxa.</w:t>
      </w:r>
    </w:p>
    <w:p>
      <w:pPr>
        <w:pStyle w:val="BodyText"/>
      </w:pPr>
      <w:r>
        <w:t xml:space="preserve">Overall, our results show a wide range of TCSA values throughout the Late Paleolithic period and between eco-regional zones. The widest TCSA range was found at a single site, Suyanggae (</w:t>
      </w:r>
      <w:hyperlink w:anchor="fig-tcsa-per-sites">
        <w:r>
          <w:rPr>
            <w:rStyle w:val="Hyperlink"/>
          </w:rPr>
          <w:t xml:space="preserve">Figure 8</w:t>
        </w:r>
      </w:hyperlink>
      <w:r>
        <w:t xml:space="preserve">). Our findings are therefore consistent with our second scenario, in which stemmed points are best described as multifunctional tools, suggesting that in most cases people created stemmed points as a response to unexpected or varying circumstances in their specific habitats, similar to how</w:t>
      </w:r>
      <w:r>
        <w:t xml:space="preserve"> </w:t>
      </w:r>
      <w:r>
        <w:t xml:space="preserve">Eren et al. (2022)</w:t>
      </w:r>
      <w:r>
        <w:t xml:space="preserve"> </w:t>
      </w:r>
      <w:r>
        <w:t xml:space="preserve">explained Clovis points. The LGM period may be the exception here, with a reduction in variability during this time.</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Drawing on evolutionary theory, we premised that the way of using stemmed points likely reflects the socio-environmental circumstances that people encountered and managed. We examined the possible impact of LGM on stemmed points and their distribution across eco-regional zones.</w:t>
      </w:r>
    </w:p>
    <w:p>
      <w:pPr>
        <w:pStyle w:val="BodyText"/>
      </w:pPr>
      <w:r>
        <w:t xml:space="preserve">According to the different weapon-delivery systems that can be inferred from TCSA values, the majority of stemmed points from the Korean Paleolithic were probably used as javelin tips and stabbing spear tips. In general, though, we noted a wide range and also differing distributions of TCSA values in each assemblage. Therefore, we conclude that stemmed points served diverse and not highly patterned roles during the Late Paleolithic. Prior to the LGM, people may have encountered unfamiliar situations and use stemmed points as a multifunctional tool to carry out multiple tasks. During the LGM and following we find production and discard of stemmed points declined, but their ballistic properties remained largely unchanged. Considering that many of our predictions about TCSA were not supported by the data, we speculate that the ballistic aspects of stemmed points were not highly sensitive to global climate dynamics and local geographic variation, but instead were optimal for the wide range of conditions encountered by people during the Late Palaeolithic in Korea.</w:t>
      </w:r>
    </w:p>
    <w:p>
      <w:pPr>
        <w:pStyle w:val="BodyText"/>
      </w:pPr>
      <w:r>
        <w:t xml:space="preserve">We are aware that discriminating the likely use of small numbers of projectile points could be arbitrary</w:t>
      </w:r>
      <w:r>
        <w:t xml:space="preserve"> </w:t>
      </w:r>
      <w:r>
        <w:t xml:space="preserve">(Erlandson et al., 2014)</w:t>
      </w:r>
      <w:r>
        <w:t xml:space="preserve">. Since TCSA covers the critical elements of projectiles, flight and penetration dynamics (i.e. increase or decrease by shape of tip and cross section), we nevertheless consider it a useful metric for discriminating between weapon tip tools</w:t>
      </w:r>
      <w:r>
        <w:t xml:space="preserve"> </w:t>
      </w:r>
      <w:r>
        <w:t xml:space="preserve">(Hughes, 1998; Lombard, 2021; Sitton et al., 2020)</w:t>
      </w:r>
      <w:r>
        <w:t xml:space="preserve">. As part of our future research, we plan to conduct use-wear analyses of stemmed points and experiments in an effort to elucidate in more detail the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48" w:name="references"/>
    <w:p>
      <w:pPr>
        <w:pStyle w:val="Heading1"/>
      </w:pPr>
      <w:r>
        <w:t xml:space="preserve">References</w:t>
      </w:r>
    </w:p>
    <w:bookmarkStart w:id="146"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bettinger2016marginal"/>
    <w:p>
      <w:pPr>
        <w:pStyle w:val="Bibliography"/>
      </w:pPr>
      <w:r>
        <w:t xml:space="preserve">Bettinger, R.L., Grote, M.N., 2016. Marginal value theorem, patch choice, and human foraging response in varying environments. Journal of Anthropological Archaeology 42, 79–87.</w:t>
      </w:r>
    </w:p>
    <w:bookmarkEnd w:id="85"/>
    <w:bookmarkStart w:id="86" w:name="ref-bird2006behavioral"/>
    <w:p>
      <w:pPr>
        <w:pStyle w:val="Bibliography"/>
      </w:pPr>
      <w:r>
        <w:t xml:space="preserve">Bird, D.W., O’Connell, J.F., 2006. Behavioral ecology and archaeology. Journal of Archaeological Research 14, 143–188.</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ang_2002"/>
    <w:p>
      <w:pPr>
        <w:pStyle w:val="Bibliography"/>
      </w:pPr>
      <w:r>
        <w:t xml:space="preserve">Chang, Y., 2002. The study on pointed stone tools in korea. Journal of Korean Paleolithic Society 37–46.</w:t>
      </w:r>
    </w:p>
    <w:bookmarkEnd w:id="88"/>
    <w:bookmarkStart w:id="8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9"/>
    <w:bookmarkStart w:id="90" w:name="ref-eren2022plains"/>
    <w:p>
      <w:pPr>
        <w:pStyle w:val="Bibliography"/>
      </w:pPr>
      <w:r>
        <w:t xml:space="preserve">Eren, M.I., Bebber, M.R., Knell, E.J., Story, B., Buchanan, B., 2022. Plains paleoindian projectile point penetration potential. Journal of Anthropological Research 78, 84–112.</w:t>
      </w:r>
    </w:p>
    <w:bookmarkEnd w:id="90"/>
    <w:bookmarkStart w:id="91" w:name="ref-erlandson2014darts"/>
    <w:p>
      <w:pPr>
        <w:pStyle w:val="Bibliography"/>
      </w:pPr>
      <w:r>
        <w:t xml:space="preserve">Erlandson, J.M., Watts, J.L., Jew, N.P., 2014. Darts, arrows, and archaeologists: Distinguishing dart and arrow points in the archaeological record. American Antiquity 79, 162–169.</w:t>
      </w:r>
    </w:p>
    <w:bookmarkEnd w:id="91"/>
    <w:bookmarkStart w:id="92" w:name="ref-fenenga1953weights"/>
    <w:p>
      <w:pPr>
        <w:pStyle w:val="Bibliography"/>
      </w:pPr>
      <w:r>
        <w:t xml:space="preserve">Fenenga, F., 1953. The weights of chipped stone points: A clue to their functions. Southwestern Journal of Anthropology 9, 309–323.</w:t>
      </w:r>
    </w:p>
    <w:bookmarkEnd w:id="92"/>
    <w:bookmarkStart w:id="93"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3"/>
    <w:bookmarkStart w:id="94" w:name="ref-hughes1998getting"/>
    <w:p>
      <w:pPr>
        <w:pStyle w:val="Bibliography"/>
      </w:pPr>
      <w:r>
        <w:t xml:space="preserve">Hughes, S.S., 1998. Getting to the point: Evolutionary change in prehistoric weaponry. Journal of Archaeological Method and Theory 5, 345–408.</w:t>
      </w:r>
    </w:p>
    <w:bookmarkEnd w:id="94"/>
    <w:bookmarkStart w:id="95" w:name="ref-kelly2007foraging"/>
    <w:p>
      <w:pPr>
        <w:pStyle w:val="Bibliography"/>
      </w:pPr>
      <w:r>
        <w:t xml:space="preserve">Kelly, R.J., 2007. The foraging spectrum: Diversity in hunter-gatherer lifeways. ISD LLC.</w:t>
      </w:r>
    </w:p>
    <w:bookmarkEnd w:id="95"/>
    <w:bookmarkStart w:id="96" w:name="ref-Kim"/>
    <w:p>
      <w:pPr>
        <w:pStyle w:val="Bibliography"/>
      </w:pPr>
      <w:r>
        <w:t xml:space="preserve">Kim, E., n.d. Morphological diversity and functional differentiation of tanged-points: Focused on suyanggae, jingeuneul and yongsandong site. Journal of Korean Paleolithic Society.</w:t>
      </w:r>
    </w:p>
    <w:bookmarkEnd w:id="96"/>
    <w:bookmarkStart w:id="9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7"/>
    <w:bookmarkStart w:id="98" w:name="ref-kim2004yongsan"/>
    <w:p>
      <w:pPr>
        <w:pStyle w:val="Bibliography"/>
      </w:pPr>
      <w:r>
        <w:t xml:space="preserve">Kim, H.-I., 2004. Yongsan-dong paleolithic site, daejeon. Hanguk Guseoki Hakbo 10, 83–94.</w:t>
      </w:r>
    </w:p>
    <w:bookmarkEnd w:id="98"/>
    <w:bookmarkStart w:id="99"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9"/>
    <w:bookmarkStart w:id="100"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0"/>
    <w:bookmarkStart w:id="101" w:name="ref-lee2015characteristics"/>
    <w:p>
      <w:pPr>
        <w:pStyle w:val="Bibliography"/>
      </w:pPr>
      <w:r>
        <w:t xml:space="preserve">Lee, G., 2015. The characteristics of upper paleolithic industries in korea. Emergence and diversity of modern human behavior in Paleolithic Asia 270–286.</w:t>
      </w:r>
    </w:p>
    <w:bookmarkEnd w:id="101"/>
    <w:bookmarkStart w:id="102" w:name="ref-lee2012characteristics"/>
    <w:p>
      <w:pPr>
        <w:pStyle w:val="Bibliography"/>
      </w:pPr>
      <w:r>
        <w:t xml:space="preserve">Lee, G., 2012. Characteristics of paleolithic industries in southwestern korea during MIS 3 and MIS 2. Quaternary International 248, 12–21.</w:t>
      </w:r>
    </w:p>
    <w:bookmarkEnd w:id="102"/>
    <w:bookmarkStart w:id="10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3"/>
    <w:bookmarkStart w:id="104" w:name="ref-Lee_Jang_2011"/>
    <w:p>
      <w:pPr>
        <w:pStyle w:val="Bibliography"/>
      </w:pPr>
      <w:r>
        <w:t xml:space="preserve">Lee, H.-J., Jang, D., 2011b. A study on the function and restoration of tanged tools in the upper palaeolithic of korea. Journal of the Korean Palaeolithic Society 23, 103–120.</w:t>
      </w:r>
    </w:p>
    <w:bookmarkEnd w:id="104"/>
    <w:bookmarkStart w:id="105" w:name="ref-lee2011study"/>
    <w:p>
      <w:pPr>
        <w:pStyle w:val="Bibliography"/>
      </w:pPr>
      <w:r>
        <w:t xml:space="preserve">Lee, H.-J., Jang, D., 2011a. A study on the function and restoration of tanged tools in the upper palaeolithic of korea. Journal of the Korean Palaeolithic Society 23, 103–120.</w:t>
      </w:r>
    </w:p>
    <w:bookmarkEnd w:id="105"/>
    <w:bookmarkStart w:id="106" w:name="ref-lee2017korean"/>
    <w:p>
      <w:pPr>
        <w:pStyle w:val="Bibliography"/>
      </w:pPr>
      <w:r>
        <w:t xml:space="preserve">Lee, H.W., Bae, C.J., Lee, C., 2017. The korean early late paleolithic revisited: A view from galsanri. Archaeological and Anthropological Sciences 9, 843–863.</w:t>
      </w:r>
    </w:p>
    <w:bookmarkEnd w:id="106"/>
    <w:bookmarkStart w:id="107"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7"/>
    <w:bookmarkStart w:id="108" w:name="ref-Lee_Kong_2002"/>
    <w:p>
      <w:pPr>
        <w:pStyle w:val="Bibliography"/>
      </w:pPr>
      <w:r>
        <w:t xml:space="preserve">Lee, Y., Kong, S., 2002b. New analysis results of suyanggae tanged tools in korea. J Korean Paleol Society 6, 13–24.</w:t>
      </w:r>
    </w:p>
    <w:bookmarkEnd w:id="108"/>
    <w:bookmarkStart w:id="109" w:name="ref-lee2002new"/>
    <w:p>
      <w:pPr>
        <w:pStyle w:val="Bibliography"/>
      </w:pPr>
      <w:r>
        <w:t xml:space="preserve">Lee, Y., Kong, S., 2002a. New analysis results of suyanggae tanged tools in korea. J Korean Paleol Society 6, 13–24.</w:t>
      </w:r>
    </w:p>
    <w:bookmarkEnd w:id="109"/>
    <w:bookmarkStart w:id="110"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0"/>
    <w:bookmarkStart w:id="111" w:name="ref-lombard2022standardized"/>
    <w:p>
      <w:pPr>
        <w:pStyle w:val="Bibliography"/>
      </w:pPr>
      <w:r>
        <w:t xml:space="preserve">Lombard, M., 2022. A standardized approach to the origins of lightweight-javelin hunting. Lithic Technology 1–11.</w:t>
      </w:r>
    </w:p>
    <w:bookmarkEnd w:id="111"/>
    <w:bookmarkStart w:id="112"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2"/>
    <w:bookmarkStart w:id="113" w:name="ref-lombard2020tip"/>
    <w:p>
      <w:pPr>
        <w:pStyle w:val="Bibliography"/>
      </w:pPr>
      <w:r>
        <w:t xml:space="preserve">Lombard, M., 2020. The tip cross-sectional areas of poisoned bone arrowheads from southern africa. Journal of Archaeological Science: Reports 33, 102477.</w:t>
      </w:r>
    </w:p>
    <w:bookmarkEnd w:id="113"/>
    <w:bookmarkStart w:id="114" w:name="ref-lombard2022tip"/>
    <w:p>
      <w:pPr>
        <w:pStyle w:val="Bibliography"/>
      </w:pPr>
      <w:r>
        <w:t xml:space="preserve">Lombard, M., Lotter, M.G., Caruana, M.V., 2022. The tip cross-sectional area (TCSA) method strengthened and constrained with ethno-historical material from sub-saharan africa.</w:t>
      </w:r>
    </w:p>
    <w:bookmarkEnd w:id="114"/>
    <w:bookmarkStart w:id="115" w:name="ref-lombard2023neanderthal"/>
    <w:p>
      <w:pPr>
        <w:pStyle w:val="Bibliography"/>
      </w:pPr>
      <w:r>
        <w:t xml:space="preserve">Lombard, M., Moncel, M.-H., 2023. Neanderthal hunting weapons re-assessed: A tip cross-sectional area analysis of middle palaeolithic point assemblages from south eastern france. Quaternary 6, 17.</w:t>
      </w:r>
    </w:p>
    <w:bookmarkEnd w:id="115"/>
    <w:bookmarkStart w:id="116" w:name="ref-lombard2021did"/>
    <w:p>
      <w:pPr>
        <w:pStyle w:val="Bibliography"/>
      </w:pPr>
      <w:r>
        <w:t xml:space="preserve">Lombard, M., Shea, J.J., 2021. Did pleistocene africans use the spearthrower-and-dart? Evolutionary Anthropology: Issues, News, and Reviews 30, 307–315.</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mcpherron2014experimental"/>
    <w:p>
      <w:pPr>
        <w:pStyle w:val="Bibliography"/>
      </w:pPr>
      <w:r>
        <w:t xml:space="preserve">McPherron, S.P., Braun, D.R., Dogandžić, T., Archer, W., Desta, D., Lin, S.C., 2014. An experimental assessment of the influences on edge damage to lithic artifacts: A consideration of edge angle, substrate grain size, raw material properties, and exposed face. Journal of Archaeological Science 49, 70–82.</w:t>
      </w:r>
    </w:p>
    <w:bookmarkEnd w:id="118"/>
    <w:bookmarkStart w:id="119" w:name="ref-metz2023bow"/>
    <w:p>
      <w:pPr>
        <w:pStyle w:val="Bibliography"/>
      </w:pPr>
      <w:r>
        <w:t xml:space="preserve">Metz, L., Lewis, J.E., Slimak, L., 2023. Bow-and-arrow, technology of the first modern humans in europe 54,000 years ago at mandrin, france. Science Advances 9, eadd4675.</w:t>
      </w:r>
    </w:p>
    <w:bookmarkEnd w:id="119"/>
    <w:bookmarkStart w:id="120"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0"/>
    <w:bookmarkStart w:id="121"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1"/>
    <w:bookmarkStart w:id="122" w:name="ref-o2018origins"/>
    <w:p>
      <w:pPr>
        <w:pStyle w:val="Bibliography"/>
      </w:pPr>
      <w:r>
        <w:t xml:space="preserve">O’Driscoll, C.A., Thompson, J.C., 2018. The origins and early elaboration of projectile technology. Evolutionary Anthropology: Issues, News, and Reviews 27, 30–45.</w:t>
      </w:r>
    </w:p>
    <w:bookmarkEnd w:id="122"/>
    <w:bookmarkStart w:id="123" w:name="ref-Park_2013"/>
    <w:p>
      <w:pPr>
        <w:pStyle w:val="Bibliography"/>
      </w:pPr>
      <w:r>
        <w:t xml:space="preserve">Park, G., 2013. A study on the stemmed points of the late paleolithic in the korean peninsula. Yeongnam Archaeological Review 64, 39–69.</w:t>
      </w:r>
    </w:p>
    <w:bookmarkEnd w:id="123"/>
    <w:bookmarkStart w:id="124"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4"/>
    <w:bookmarkStart w:id="125"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5"/>
    <w:bookmarkStart w:id="126" w:name="ref-pratt2020circum"/>
    <w:p>
      <w:pPr>
        <w:pStyle w:val="Bibliography"/>
      </w:pPr>
      <w:r>
        <w:t xml:space="preserve">Pratt, J., Goebel, T., Graf, K., Izuho, M., 2020. A circum-pacific perspective on the origin of stemmed points in north america. PaleoAmerica 6, 64–108.</w:t>
      </w:r>
    </w:p>
    <w:bookmarkEnd w:id="126"/>
    <w:bookmarkStart w:id="127" w:name="ref-core2021team"/>
    <w:p>
      <w:pPr>
        <w:pStyle w:val="Bibliography"/>
      </w:pPr>
      <w:r>
        <w:t xml:space="preserve">R Core Team, 2021. R: A language and environment for statistical computing, 2015.</w:t>
      </w:r>
    </w:p>
    <w:bookmarkEnd w:id="127"/>
    <w:bookmarkStart w:id="128" w:name="ref-rorabaugh2015timing"/>
    <w:p>
      <w:pPr>
        <w:pStyle w:val="Bibliography"/>
      </w:pPr>
      <w:r>
        <w:t xml:space="preserve">Rorabaugh, A.N., Fulkerson, T.J., 2015. Timing of the introduction of arrow technologies in the salish sea, northwest north america. Lithic Technology 40, 21–39.</w:t>
      </w:r>
    </w:p>
    <w:bookmarkEnd w:id="128"/>
    <w:bookmarkStart w:id="129" w:name="ref-sahle2019assessment"/>
    <w:p>
      <w:pPr>
        <w:pStyle w:val="Bibliography"/>
      </w:pPr>
      <w:r>
        <w:t xml:space="preserve">Sahle, Y., Brooks, A.S., 2019. Assessment of complex projectiles in the early late pleistocene at aduma, ethiopia. Plos one 14, e0216716.</w:t>
      </w:r>
    </w:p>
    <w:bookmarkEnd w:id="129"/>
    <w:bookmarkStart w:id="130" w:name="ref-seong2015diversity"/>
    <w:p>
      <w:pPr>
        <w:pStyle w:val="Bibliography"/>
      </w:pPr>
      <w:r>
        <w:t xml:space="preserve">Seong, C., 2015. Diversity of lithic assemblages and evolution of late palaeolithic culture in korea. Asian Perspectives 91–112.</w:t>
      </w:r>
    </w:p>
    <w:bookmarkEnd w:id="130"/>
    <w:bookmarkStart w:id="131" w:name="ref-seong2009emergence"/>
    <w:p>
      <w:pPr>
        <w:pStyle w:val="Bibliography"/>
      </w:pPr>
      <w:r>
        <w:t xml:space="preserve">Seong, C., 2009. Emergence of a blade industry and evolution of late paleolithic technology in the republic of korea. Journal of Anthropological Research 65, 417–451.</w:t>
      </w:r>
    </w:p>
    <w:bookmarkEnd w:id="131"/>
    <w:bookmarkStart w:id="132" w:name="ref-seong2008tanged"/>
    <w:p>
      <w:pPr>
        <w:pStyle w:val="Bibliography"/>
      </w:pPr>
      <w:r>
        <w:t xml:space="preserve">Seong, C., 2008. Tanged points, microblades and late palaeolithic hunting in korea. Antiquity 82, 871–883.</w:t>
      </w:r>
    </w:p>
    <w:bookmarkEnd w:id="132"/>
    <w:bookmarkStart w:id="133" w:name="ref-seong2004quartzite"/>
    <w:p>
      <w:pPr>
        <w:pStyle w:val="Bibliography"/>
      </w:pPr>
      <w:r>
        <w:t xml:space="preserve">Seong, C., 2004. Quartzite and vein quartz as lithic raw materials reconsidered: A view from the korean paleolithic. Asian Perspectives 73–91.</w:t>
      </w:r>
    </w:p>
    <w:bookmarkEnd w:id="133"/>
    <w:bookmarkStart w:id="134" w:name="ref-seong2016eastern"/>
    <w:p>
      <w:pPr>
        <w:pStyle w:val="Bibliography"/>
      </w:pPr>
      <w:r>
        <w:t xml:space="preserve">Seong, C., Bae, C.J., 2016. The eastern asian ‘middle palaeolithic’revisited: A view from korea. Antiquity 90, 1151–1165.</w:t>
      </w:r>
    </w:p>
    <w:bookmarkEnd w:id="134"/>
    <w:bookmarkStart w:id="135" w:name="ref-shea2009impact"/>
    <w:p>
      <w:pPr>
        <w:pStyle w:val="Bibliography"/>
      </w:pPr>
      <w:r>
        <w:t xml:space="preserve">Shea, J.J., 2009. The impact of projectile weaponry on late pleistocene hominin evolution, in: The Evolution of Hominin Diets. Springer, pp. 189–199.</w:t>
      </w:r>
    </w:p>
    <w:bookmarkEnd w:id="135"/>
    <w:bookmarkStart w:id="136" w:name="ref-shea2006origins"/>
    <w:p>
      <w:pPr>
        <w:pStyle w:val="Bibliography"/>
      </w:pPr>
      <w:r>
        <w:t xml:space="preserve">Shea, J.J., 2006. The origins of lithic projectile point technology: Evidence from africa, the levant, and europe. Journal of Archaeological Science 33, 823–846.</w:t>
      </w:r>
    </w:p>
    <w:bookmarkEnd w:id="136"/>
    <w:bookmarkStart w:id="137"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7"/>
    <w:bookmarkStart w:id="138" w:name="ref-sitton2020tip"/>
    <w:p>
      <w:pPr>
        <w:pStyle w:val="Bibliography"/>
      </w:pPr>
      <w:r>
        <w:t xml:space="preserve">Sitton, J., Story, B., Buchanan, B., Eren, M.I., 2020. Tip cross-sectional geometry predicts the penetration depth of stone-tipped projectiles. Scientific Reports 10, 1–9.</w:t>
      </w:r>
    </w:p>
    <w:bookmarkEnd w:id="138"/>
    <w:bookmarkStart w:id="139" w:name="ref-Sohn_1967"/>
    <w:p>
      <w:pPr>
        <w:pStyle w:val="Bibliography"/>
      </w:pPr>
      <w:r>
        <w:t xml:space="preserve">Sohn, P., 1967. Seokjang-ri paleolithic culture. Yeoksahakbo 379–397.</w:t>
      </w:r>
    </w:p>
    <w:bookmarkEnd w:id="139"/>
    <w:bookmarkStart w:id="140" w:name="ref-song2020efficient"/>
    <w:p>
      <w:pPr>
        <w:pStyle w:val="Bibliography"/>
      </w:pPr>
      <w:r>
        <w:t xml:space="preserve">Song, M., Zhong, H., 2020. Efficient weighted univariate clustering maps outstanding dysregulated genomic zones in human cancers. Bioinformatics 36, 5027–5036.</w:t>
      </w:r>
    </w:p>
    <w:bookmarkEnd w:id="140"/>
    <w:bookmarkStart w:id="141" w:name="ref-thomas1978arrowheads"/>
    <w:p>
      <w:pPr>
        <w:pStyle w:val="Bibliography"/>
      </w:pPr>
      <w:r>
        <w:t xml:space="preserve">Thomas, D.H., 1978. Arrowheads and atlatl darts: How the stones got the shaft. American antiquity 43, 461–472.</w:t>
      </w:r>
    </w:p>
    <w:bookmarkEnd w:id="141"/>
    <w:bookmarkStart w:id="142" w:name="ref-wadley2008segment"/>
    <w:p>
      <w:pPr>
        <w:pStyle w:val="Bibliography"/>
      </w:pPr>
      <w:r>
        <w:t xml:space="preserve">Wadley, L., Mohapi, M., 2008. A segment is not a monolith: Evidence from the howiesons poort of sibudu, south africa. Journal of Archaeological Science 35, 2594–2605.</w:t>
      </w:r>
    </w:p>
    <w:bookmarkEnd w:id="142"/>
    <w:bookmarkStart w:id="143" w:name="ref-wang2011ckmeans"/>
    <w:p>
      <w:pPr>
        <w:pStyle w:val="Bibliography"/>
      </w:pPr>
      <w:r>
        <w:t xml:space="preserve">Wang, H., Song, M., 2011. Ckmeans. 1d. Dp: Optimal k-means clustering in one dimension by dynamic programming. The R journal 3, 29.</w:t>
      </w:r>
    </w:p>
    <w:bookmarkEnd w:id="143"/>
    <w:bookmarkStart w:id="144" w:name="ref-yi2010vegetation"/>
    <w:p>
      <w:pPr>
        <w:pStyle w:val="Bibliography"/>
      </w:pPr>
      <w:r>
        <w:t xml:space="preserve">Yi, S., Kim, S.-J., 2010. Vegetation changes in western central region of korean peninsula during the last glacial (ca. 21.1–26.1 cal kyr BP). Geosciences Journal 14, 1–10.</w:t>
      </w:r>
    </w:p>
    <w:bookmarkEnd w:id="144"/>
    <w:bookmarkStart w:id="145"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5"/>
    <w:bookmarkEnd w:id="146"/>
    <w:p>
      <w:r>
        <w:br w:type="page"/>
      </w:r>
    </w:p>
    <w:bookmarkStart w:id="147" w:name="colophon"/>
    <w:p>
      <w:pPr>
        <w:pStyle w:val="Heading3"/>
      </w:pPr>
      <w:r>
        <w:t xml:space="preserve">Colophon</w:t>
      </w:r>
    </w:p>
    <w:p>
      <w:pPr>
        <w:pStyle w:val="FirstParagraph"/>
      </w:pPr>
      <w:r>
        <w:t xml:space="preserve">This report was generated on 2023-04-25 15:52:26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2023-04-25</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2023-02-08 [1] Github (achetverikov/apastats@448bb21)</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cachem          1.0.7   2023-02-24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7.3-21  2023-01-23 [1] CRAN (R 4.2.0)</w:t>
      </w:r>
      <w:r>
        <w:br/>
      </w:r>
      <w:r>
        <w:rPr>
          <w:rStyle w:val="VerbatimChar"/>
        </w:rPr>
        <w:t xml:space="preserve"> classInt        0.4-9   2023-02-28 [1] CRAN (R 4.2.0)</w:t>
      </w:r>
      <w:r>
        <w:br/>
      </w:r>
      <w:r>
        <w:rPr>
          <w:rStyle w:val="VerbatimChar"/>
        </w:rPr>
        <w:t xml:space="preserve"> cli             3.6.1   2023-03-23 [1] CRAN (R 4.2.0)</w:t>
      </w:r>
      <w:r>
        <w:br/>
      </w:r>
      <w:r>
        <w:rPr>
          <w:rStyle w:val="VerbatimChar"/>
        </w:rPr>
        <w:t xml:space="preserve"> codetools       0.2-19  2023-02-01 [1] CRAN (R 4.2.0)</w:t>
      </w:r>
      <w:r>
        <w:br/>
      </w:r>
      <w:r>
        <w:rPr>
          <w:rStyle w:val="VerbatimChar"/>
        </w:rPr>
        <w:t xml:space="preserve"> colorspace      2.1-0   2023-01-23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devtools        2.4.5   2022-10-11 [1]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e1071           1.7-13  2023-02-01 [1] CRAN (R 4.2.0)</w:t>
      </w:r>
      <w:r>
        <w:br/>
      </w:r>
      <w:r>
        <w:rPr>
          <w:rStyle w:val="VerbatimChar"/>
        </w:rPr>
        <w:t xml:space="preserve"> ellipsis        0.3.2   2021-04-29 [1] CRAN (R 4.2.0)</w:t>
      </w:r>
      <w:r>
        <w:br/>
      </w:r>
      <w:r>
        <w:rPr>
          <w:rStyle w:val="VerbatimChar"/>
        </w:rPr>
        <w:t xml:space="preserve"> evaluate        0.20    2023-01-17 [1] CRAN (R 4.2.0)</w:t>
      </w:r>
      <w:r>
        <w:br/>
      </w:r>
      <w:r>
        <w:rPr>
          <w:rStyle w:val="VerbatimChar"/>
        </w:rPr>
        <w:t xml:space="preserve"> fansi           1.0.4   2023-01-22 [1] CRAN (R 4.2.0)</w:t>
      </w:r>
      <w:r>
        <w:br/>
      </w:r>
      <w:r>
        <w:rPr>
          <w:rStyle w:val="VerbatimChar"/>
        </w:rPr>
        <w:t xml:space="preserve"> farver          2.1.1   2022-07-06 [1] CRAN (R 4.2.0)</w:t>
      </w:r>
      <w:r>
        <w:br/>
      </w:r>
      <w:r>
        <w:rPr>
          <w:rStyle w:val="VerbatimChar"/>
        </w:rPr>
        <w:t xml:space="preserve"> fastmap         1.1.1   2023-02-24 [1] CRAN (R 4.2.0)</w:t>
      </w:r>
      <w:r>
        <w:br/>
      </w:r>
      <w:r>
        <w:rPr>
          <w:rStyle w:val="VerbatimChar"/>
        </w:rPr>
        <w:t xml:space="preserve"> forcats       * 1.0.0   2023-01-29 [1] CRAN (R 4.2.0)</w:t>
      </w:r>
      <w:r>
        <w:br/>
      </w:r>
      <w:r>
        <w:rPr>
          <w:rStyle w:val="VerbatimChar"/>
        </w:rPr>
        <w:t xml:space="preserve"> foreign         0.8-84  2022-12-06 [1] CRAN (R 4.2.0)</w:t>
      </w:r>
      <w:r>
        <w:br/>
      </w:r>
      <w:r>
        <w:rPr>
          <w:rStyle w:val="VerbatimChar"/>
        </w:rPr>
        <w:t xml:space="preserve"> fs              1.6.1   2023-02-06 [1] CRAN (R 4.2.0)</w:t>
      </w:r>
      <w:r>
        <w:br/>
      </w:r>
      <w:r>
        <w:rPr>
          <w:rStyle w:val="VerbatimChar"/>
        </w:rPr>
        <w:t xml:space="preserve"> generics        0.1.3   2022-07-05 [1] CRAN (R 4.2.0)</w:t>
      </w:r>
      <w:r>
        <w:br/>
      </w:r>
      <w:r>
        <w:rPr>
          <w:rStyle w:val="VerbatimChar"/>
        </w:rPr>
        <w:t xml:space="preserve"> ggbeeswarm    * 0.7.1   2022-12-16 [1] CRAN (R 4.2.0)</w:t>
      </w:r>
      <w:r>
        <w:br/>
      </w:r>
      <w:r>
        <w:rPr>
          <w:rStyle w:val="VerbatimChar"/>
        </w:rPr>
        <w:t xml:space="preserve"> ggmap         * 3.0.1   2022-11-03 [1] CRAN (R 4.2.0)</w:t>
      </w:r>
      <w:r>
        <w:br/>
      </w:r>
      <w:r>
        <w:rPr>
          <w:rStyle w:val="VerbatimChar"/>
        </w:rPr>
        <w:t xml:space="preserve"> ggplot2       * 3.4.1   2023-02-10 [1] CRAN (R 4.2.0)</w:t>
      </w:r>
      <w:r>
        <w:br/>
      </w:r>
      <w:r>
        <w:rPr>
          <w:rStyle w:val="VerbatimChar"/>
        </w:rPr>
        <w:t xml:space="preserve"> ggrepel       * 0.9.3   2023-02-03 [1] CRAN (R 4.2.0)</w:t>
      </w:r>
      <w:r>
        <w:br/>
      </w:r>
      <w:r>
        <w:rPr>
          <w:rStyle w:val="VerbatimChar"/>
        </w:rPr>
        <w:t xml:space="preserve"> glue            1.6.2   2022-02-24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here          * 1.0.1   2020-12-13 [1] CRAN (R 4.2.0)</w:t>
      </w:r>
      <w:r>
        <w:br/>
      </w:r>
      <w:r>
        <w:rPr>
          <w:rStyle w:val="VerbatimChar"/>
        </w:rPr>
        <w:t xml:space="preserve"> hms             1.1.3   2023-03-21 [1] CRAN (R 4.2.0)</w:t>
      </w:r>
      <w:r>
        <w:br/>
      </w:r>
      <w:r>
        <w:rPr>
          <w:rStyle w:val="VerbatimChar"/>
        </w:rPr>
        <w:t xml:space="preserve"> htmltools       0.5.4   2022-12-07 [1] CRAN (R 4.2.0)</w:t>
      </w:r>
      <w:r>
        <w:br/>
      </w:r>
      <w:r>
        <w:rPr>
          <w:rStyle w:val="VerbatimChar"/>
        </w:rPr>
        <w:t xml:space="preserve"> htmlwidgets     1.6.1   2023-01-07 [1] CRAN (R 4.2.0)</w:t>
      </w:r>
      <w:r>
        <w:br/>
      </w:r>
      <w:r>
        <w:rPr>
          <w:rStyle w:val="VerbatimChar"/>
        </w:rPr>
        <w:t xml:space="preserve"> httpuv          1.6.9   2023-02-14 [1] CRAN (R 4.2.0)</w:t>
      </w:r>
      <w:r>
        <w:br/>
      </w:r>
      <w:r>
        <w:rPr>
          <w:rStyle w:val="VerbatimChar"/>
        </w:rPr>
        <w:t xml:space="preserve"> httr            1.4.5   2023-02-24 [1]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KernSmooth      2.23-20 2021-05-03 [1] CRAN (R 4.2.2)</w:t>
      </w:r>
      <w:r>
        <w:br/>
      </w:r>
      <w:r>
        <w:rPr>
          <w:rStyle w:val="VerbatimChar"/>
        </w:rPr>
        <w:t xml:space="preserve"> knitr           1.42    2023-01-25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2023-02-08 [1] Github (3wen/legendMap@707f00c)</w:t>
      </w:r>
      <w:r>
        <w:br/>
      </w:r>
      <w:r>
        <w:rPr>
          <w:rStyle w:val="VerbatimChar"/>
        </w:rPr>
        <w:t xml:space="preserve"> lifecycle       1.0.3   2022-10-07 [1] CRAN (R 4.2.0)</w:t>
      </w:r>
      <w:r>
        <w:br/>
      </w:r>
      <w:r>
        <w:rPr>
          <w:rStyle w:val="VerbatimChar"/>
        </w:rPr>
        <w:t xml:space="preserve"> lubridate     * 1.9.2   2023-02-10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1.1-6   2022-12-14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1.8-42  2023-03-02 [1] CRAN (R 4.2.0)</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munsell         0.5.0   2018-06-12 [1] CRAN (R 4.2.0)</w:t>
      </w:r>
      <w:r>
        <w:br/>
      </w:r>
      <w:r>
        <w:rPr>
          <w:rStyle w:val="VerbatimChar"/>
        </w:rPr>
        <w:t xml:space="preserve"> nlme            3.1-162 2023-01-31 [1] CRAN (R 4.2.0)</w:t>
      </w:r>
      <w:r>
        <w:br/>
      </w:r>
      <w:r>
        <w:rPr>
          <w:rStyle w:val="VerbatimChar"/>
        </w:rPr>
        <w:t xml:space="preserve"> pillar          1.9.0   2023-03-22 [1] CRAN (R 4.2.0)</w:t>
      </w:r>
      <w:r>
        <w:br/>
      </w:r>
      <w:r>
        <w:rPr>
          <w:rStyle w:val="VerbatimChar"/>
        </w:rPr>
        <w:t xml:space="preserve"> pkgbuild        1.4.0   2022-11-27 [1] CRAN (R 4.2.0)</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3.6-20  2023-03-06 [1] CRAN (R 4.2.0)</w:t>
      </w:r>
      <w:r>
        <w:br/>
      </w:r>
      <w:r>
        <w:rPr>
          <w:rStyle w:val="VerbatimChar"/>
        </w:rPr>
        <w:t xml:space="preserve"> rbibutils       2.2.13  2023-01-13 [1] CRAN (R 4.2.0)</w:t>
      </w:r>
      <w:r>
        <w:br/>
      </w:r>
      <w:r>
        <w:rPr>
          <w:rStyle w:val="VerbatimChar"/>
        </w:rPr>
        <w:t xml:space="preserve"> RColorBrewer    1.1-3   2022-04-03 [1] CRAN (R 4.2.0)</w:t>
      </w:r>
      <w:r>
        <w:br/>
      </w:r>
      <w:r>
        <w:rPr>
          <w:rStyle w:val="VerbatimChar"/>
        </w:rPr>
        <w:t xml:space="preserve"> Rcpp            1.0.10  2023-01-22 [1] CRAN (R 4.2.0)</w:t>
      </w:r>
      <w:r>
        <w:br/>
      </w:r>
      <w:r>
        <w:rPr>
          <w:rStyle w:val="VerbatimChar"/>
        </w:rPr>
        <w:t xml:space="preserve"> Rdpack          2.4     2022-07-20 [1] CRAN (R 4.2.0)</w:t>
      </w:r>
      <w:r>
        <w:br/>
      </w:r>
      <w:r>
        <w:rPr>
          <w:rStyle w:val="VerbatimChar"/>
        </w:rPr>
        <w:t xml:space="preserve"> readr         * 2.1.4   2023-02-10 [1] CRAN (R 4.2.0)</w:t>
      </w:r>
      <w:r>
        <w:br/>
      </w:r>
      <w:r>
        <w:rPr>
          <w:rStyle w:val="VerbatimChar"/>
        </w:rPr>
        <w:t xml:space="preserve"> readxl        * 1.4.2   2023-02-09 [1] CRAN (R 4.2.0)</w:t>
      </w:r>
      <w:r>
        <w:br/>
      </w:r>
      <w:r>
        <w:rPr>
          <w:rStyle w:val="VerbatimChar"/>
        </w:rPr>
        <w:t xml:space="preserve"> remotes         2.4.2   2021-11-30 [1] CRAN (R 4.2.0)</w:t>
      </w:r>
      <w:r>
        <w:br/>
      </w:r>
      <w:r>
        <w:rPr>
          <w:rStyle w:val="VerbatimChar"/>
        </w:rPr>
        <w:t xml:space="preserve"> rgdal           1.6-5   2023-03-02 [1] CRAN (R 4.2.0)</w:t>
      </w:r>
      <w:r>
        <w:br/>
      </w:r>
      <w:r>
        <w:rPr>
          <w:rStyle w:val="VerbatimChar"/>
        </w:rPr>
        <w:t xml:space="preserve"> rgeos           0.6-2   2023-03-02 [1] CRAN (R 4.2.0)</w:t>
      </w:r>
      <w:r>
        <w:br/>
      </w:r>
      <w:r>
        <w:rPr>
          <w:rStyle w:val="VerbatimChar"/>
        </w:rPr>
        <w:t xml:space="preserve"> RgoogleMaps     1.4.5.3 2020-02-12 [1] CRAN (R 4.2.0)</w:t>
      </w:r>
      <w:r>
        <w:br/>
      </w:r>
      <w:r>
        <w:rPr>
          <w:rStyle w:val="VerbatimChar"/>
        </w:rPr>
        <w:t xml:space="preserve"> rlang           1.1.0   2023-03-14 [1] CRAN (R 4.2.0)</w:t>
      </w:r>
      <w:r>
        <w:br/>
      </w:r>
      <w:r>
        <w:rPr>
          <w:rStyle w:val="VerbatimChar"/>
        </w:rPr>
        <w:t xml:space="preserve"> rmarkdown       2.20    2023-01-19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sass          * 0.4.5   2023-01-24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1.7.4   2022-12-15 [1] CRAN (R 4.2.0)</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1.7-18  2023-03-06 [1] CRAN (R 4.2.0)</w:t>
      </w:r>
      <w:r>
        <w:br/>
      </w:r>
      <w:r>
        <w:rPr>
          <w:rStyle w:val="VerbatimChar"/>
        </w:rPr>
        <w:t xml:space="preserve"> tibble        * 3.2.1   2023-03-20 [1] CRAN (R 4.2.0)</w:t>
      </w:r>
      <w:r>
        <w:br/>
      </w:r>
      <w:r>
        <w:rPr>
          <w:rStyle w:val="VerbatimChar"/>
        </w:rPr>
        <w:t xml:space="preserve"> tidyr         * 1.3.0   2023-01-24 [1] CRAN (R 4.2.0)</w:t>
      </w:r>
      <w:r>
        <w:br/>
      </w:r>
      <w:r>
        <w:rPr>
          <w:rStyle w:val="VerbatimChar"/>
        </w:rPr>
        <w:t xml:space="preserve"> tidyselect      1.2.0   2022-10-10 [1] CRAN (R 4.2.0)</w:t>
      </w:r>
      <w:r>
        <w:br/>
      </w:r>
      <w:r>
        <w:rPr>
          <w:rStyle w:val="VerbatimChar"/>
        </w:rPr>
        <w:t xml:space="preserve"> tidyverse     * 2.0.0   2023-02-22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units           0.8-1   2022-12-10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1.2.3   2023-01-31 [1] CRAN (R 4.2.2)</w:t>
      </w:r>
      <w:r>
        <w:br/>
      </w:r>
      <w:r>
        <w:rPr>
          <w:rStyle w:val="VerbatimChar"/>
        </w:rPr>
        <w:t xml:space="preserve"> vctrs           0.6.1   2023-03-22 [1] CRAN (R 4.2.0)</w:t>
      </w:r>
      <w:r>
        <w:br/>
      </w:r>
      <w:r>
        <w:rPr>
          <w:rStyle w:val="VerbatimChar"/>
        </w:rPr>
        <w:t xml:space="preserve"> vipor           0.4.5   2017-03-22 [1] CRAN (R 4.2.0)</w:t>
      </w:r>
      <w:r>
        <w:br/>
      </w:r>
      <w:r>
        <w:rPr>
          <w:rStyle w:val="VerbatimChar"/>
        </w:rPr>
        <w:t xml:space="preserve"> vroom           1.6.1   2023-01-22 [1] CRAN (R 4.2.0)</w:t>
      </w:r>
      <w:r>
        <w:br/>
      </w:r>
      <w:r>
        <w:rPr>
          <w:rStyle w:val="VerbatimChar"/>
        </w:rPr>
        <w:t xml:space="preserve"> withr           2.5.0   2022-03-03 [1] CRAN (R 4.2.0)</w:t>
      </w:r>
      <w:r>
        <w:br/>
      </w:r>
      <w:r>
        <w:rPr>
          <w:rStyle w:val="VerbatimChar"/>
        </w:rPr>
        <w:t xml:space="preserve"> xfun            0.38    2023-03-24 [1] CRAN (R 4.2.0)</w:t>
      </w:r>
      <w:r>
        <w:br/>
      </w:r>
      <w:r>
        <w:rPr>
          <w:rStyle w:val="VerbatimChar"/>
        </w:rPr>
        <w:t xml:space="preserve"> xtable          1.8-4   2019-04-21 [1] CRAN (R 4.2.0)</w:t>
      </w:r>
      <w:r>
        <w:br/>
      </w:r>
      <w:r>
        <w:rPr>
          <w:rStyle w:val="VerbatimChar"/>
        </w:rPr>
        <w:t xml:space="preserve"> yaml            2.3.7   2023-01-23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/Users/bmarwick/Downloads/tcsakoreanpaleolithic</w:t>
      </w:r>
      <w:r>
        <w:br/>
      </w:r>
      <w:r>
        <w:rPr>
          <w:rStyle w:val="VerbatimChar"/>
        </w:rPr>
        <w:t xml:space="preserve">Remote:   master @ origin (https://github.com/parkgayoung/tcsakoreanpaleolithic)</w:t>
      </w:r>
      <w:r>
        <w:br/>
      </w:r>
      <w:r>
        <w:rPr>
          <w:rStyle w:val="VerbatimChar"/>
        </w:rPr>
        <w:t xml:space="preserve">Head:     [1f91b81] 2023-04-21: CV plots for each variables</w:t>
      </w:r>
    </w:p>
    <w:bookmarkEnd w:id="147"/>
    <w:bookmarkEnd w:id="14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2023-04-25T22:52:31Z</dcterms:created>
  <dcterms:modified xsi:type="dcterms:W3CDTF">2023-04-25T22:52:31Z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csl">
    <vt:lpwstr>../templates/journal-of-archaeological-science.csl</vt:lpwstr>
  </property>
  <property fmtid="{D5CDD505-2E9C-101B-9397-08002B2CF9AE}" pid="6" name="date">
    <vt:lpwstr>April 25, 2023</vt:lpwstr>
  </property>
  <property fmtid="{D5CDD505-2E9C-101B-9397-08002B2CF9AE}" pid="7" name="date-format">
    <vt:lpwstr>long</vt:lpwstr>
  </property>
  <property fmtid="{D5CDD505-2E9C-101B-9397-08002B2CF9AE}" pid="8" name="editor">
    <vt:lpwstr>visual</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